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2"/>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甘肃玛曲</w:t>
            </w:r>
            <w:bookmarkStart w:id="0" w:name="_GoBack"/>
            <w:bookmarkEnd w:id="0"/>
            <w:r>
              <w:rPr>
                <w:rFonts w:hint="eastAsia" w:ascii="宋体" w:hAnsi="宋体" w:eastAsia="宋体"/>
                <w:sz w:val="21"/>
                <w:szCs w:val="21"/>
              </w:rPr>
              <w:t>格萨尔黄金实业股份有限公司大水金矿采矿技改工程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44EB321A"/>
    <w:rsid w:val="5BE85133"/>
    <w:rsid w:val="5EC4363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liqing</cp:lastModifiedBy>
  <dcterms:modified xsi:type="dcterms:W3CDTF">2019-11-11T06:23:29Z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