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1BCCB9">
      <w:pPr>
        <w:jc w:val="left"/>
        <w:rPr>
          <w:rFonts w:ascii="方正小标宋_GBK" w:hAnsi="Times New Roman" w:eastAsia="方正小标宋_GBK" w:cs="Times New Roman"/>
          <w:sz w:val="36"/>
          <w:szCs w:val="18"/>
        </w:rPr>
      </w:pPr>
      <w:bookmarkStart w:id="0" w:name="OLE_LINK8"/>
      <w:r>
        <w:rPr>
          <w:rFonts w:hint="eastAsia" w:ascii="方正小标宋_GBK" w:hAnsi="Times New Roman" w:eastAsia="方正小标宋_GBK" w:cs="Times New Roman"/>
          <w:sz w:val="36"/>
          <w:szCs w:val="18"/>
        </w:rPr>
        <w:t>附件</w:t>
      </w:r>
    </w:p>
    <w:p w14:paraId="59898DC7">
      <w:pPr>
        <w:jc w:val="center"/>
        <w:rPr>
          <w:rFonts w:ascii="方正小标宋_GBK" w:hAnsi="Times New Roman" w:eastAsia="方正小标宋_GBK" w:cs="Times New Roman"/>
          <w:sz w:val="36"/>
          <w:szCs w:val="18"/>
        </w:rPr>
      </w:pPr>
    </w:p>
    <w:p w14:paraId="0D10EA75">
      <w:pPr>
        <w:jc w:val="center"/>
        <w:rPr>
          <w:rFonts w:ascii="方正小标宋_GBK" w:hAnsi="Times New Roman" w:eastAsia="方正小标宋_GBK" w:cs="Times New Roman"/>
          <w:sz w:val="36"/>
          <w:szCs w:val="18"/>
        </w:rPr>
      </w:pPr>
      <w:bookmarkStart w:id="2" w:name="_GoBack"/>
      <w:bookmarkEnd w:id="2"/>
    </w:p>
    <w:p w14:paraId="5CFF31D7">
      <w:pPr>
        <w:jc w:val="center"/>
        <w:rPr>
          <w:rFonts w:ascii="方正小标宋_GBK" w:hAnsi="Times New Roman" w:eastAsia="方正小标宋_GBK" w:cs="Times New Roman"/>
          <w:sz w:val="52"/>
          <w:szCs w:val="52"/>
        </w:rPr>
      </w:pPr>
    </w:p>
    <w:p w14:paraId="16929A9C">
      <w:pPr>
        <w:jc w:val="center"/>
        <w:rPr>
          <w:rFonts w:ascii="方正小标宋_GBK" w:hAnsi="Times New Roman" w:eastAsia="方正小标宋_GBK" w:cs="Times New Roman"/>
          <w:sz w:val="52"/>
          <w:szCs w:val="52"/>
        </w:rPr>
      </w:pPr>
      <w:r>
        <w:rPr>
          <w:rFonts w:hint="eastAsia" w:ascii="方正小标宋_GBK" w:hAnsi="Times New Roman" w:eastAsia="方正小标宋_GBK" w:cs="Times New Roman"/>
          <w:sz w:val="52"/>
          <w:szCs w:val="52"/>
        </w:rPr>
        <w:t>玛曲县尼玛镇国土空间总体规划</w:t>
      </w:r>
    </w:p>
    <w:p w14:paraId="72105388">
      <w:pPr>
        <w:jc w:val="center"/>
        <w:rPr>
          <w:rFonts w:ascii="方正小标宋_GBK" w:hAnsi="Times New Roman" w:eastAsia="方正小标宋_GBK" w:cs="Times New Roman"/>
          <w:sz w:val="52"/>
          <w:szCs w:val="52"/>
        </w:rPr>
      </w:pPr>
      <w:r>
        <w:rPr>
          <w:rFonts w:hint="eastAsia" w:ascii="方正小标宋_GBK" w:hAnsi="Times New Roman" w:eastAsia="方正小标宋_GBK" w:cs="Times New Roman"/>
          <w:sz w:val="52"/>
          <w:szCs w:val="52"/>
        </w:rPr>
        <w:t>（2021—2035年）</w:t>
      </w:r>
    </w:p>
    <w:p w14:paraId="77616CBB">
      <w:pPr>
        <w:jc w:val="center"/>
        <w:rPr>
          <w:rFonts w:hint="eastAsia" w:ascii="楷体" w:hAnsi="楷体" w:eastAsia="楷体" w:cs="Times New Roman"/>
          <w:sz w:val="32"/>
          <w:szCs w:val="32"/>
        </w:rPr>
      </w:pPr>
      <w:r>
        <w:rPr>
          <w:rFonts w:hint="eastAsia" w:ascii="楷体" w:hAnsi="楷体" w:eastAsia="楷体" w:cs="Times New Roman"/>
          <w:sz w:val="32"/>
          <w:szCs w:val="32"/>
        </w:rPr>
        <w:t>（公示版）</w:t>
      </w:r>
    </w:p>
    <w:p w14:paraId="6F954A86">
      <w:pPr>
        <w:jc w:val="center"/>
        <w:rPr>
          <w:rFonts w:hint="eastAsia" w:ascii="宋体" w:hAnsi="宋体" w:eastAsia="宋体" w:cs="Times New Roman"/>
          <w:sz w:val="32"/>
          <w:szCs w:val="32"/>
        </w:rPr>
      </w:pPr>
    </w:p>
    <w:p w14:paraId="4D58FBFA">
      <w:pPr>
        <w:rPr>
          <w:rFonts w:hint="eastAsia"/>
        </w:rPr>
      </w:pPr>
    </w:p>
    <w:p w14:paraId="69C7850D">
      <w:pPr>
        <w:rPr>
          <w:rFonts w:hint="eastAsia"/>
        </w:rPr>
      </w:pPr>
    </w:p>
    <w:p w14:paraId="26483EC2">
      <w:pPr>
        <w:rPr>
          <w:rFonts w:hint="eastAsia"/>
        </w:rPr>
      </w:pPr>
    </w:p>
    <w:p w14:paraId="3C9C55B2">
      <w:pPr>
        <w:rPr>
          <w:rFonts w:hint="eastAsia"/>
        </w:rPr>
      </w:pPr>
    </w:p>
    <w:p w14:paraId="54905080">
      <w:pPr>
        <w:rPr>
          <w:rFonts w:hint="eastAsia"/>
        </w:rPr>
      </w:pPr>
    </w:p>
    <w:p w14:paraId="3F6D193D">
      <w:pPr>
        <w:rPr>
          <w:rFonts w:hint="eastAsia"/>
        </w:rPr>
      </w:pPr>
    </w:p>
    <w:p w14:paraId="576E11B9">
      <w:pPr>
        <w:rPr>
          <w:rFonts w:hint="eastAsia"/>
        </w:rPr>
      </w:pPr>
    </w:p>
    <w:p w14:paraId="34AADADF">
      <w:pPr>
        <w:jc w:val="center"/>
        <w:rPr>
          <w:rFonts w:hint="eastAsia" w:ascii="仿宋_GB2312" w:hAnsi="楷体" w:eastAsia="仿宋_GB2312" w:cs="Times New Roman"/>
          <w:sz w:val="32"/>
          <w:szCs w:val="32"/>
        </w:rPr>
      </w:pPr>
    </w:p>
    <w:p w14:paraId="127FA091">
      <w:pPr>
        <w:jc w:val="center"/>
        <w:rPr>
          <w:rFonts w:hint="eastAsia" w:ascii="仿宋_GB2312" w:hAnsi="楷体" w:eastAsia="仿宋_GB2312" w:cs="Times New Roman"/>
          <w:sz w:val="32"/>
          <w:szCs w:val="32"/>
        </w:rPr>
      </w:pPr>
    </w:p>
    <w:p w14:paraId="1CB4DCAF">
      <w:pPr>
        <w:jc w:val="center"/>
        <w:rPr>
          <w:rFonts w:hint="eastAsia" w:ascii="仿宋_GB2312" w:hAnsi="楷体" w:eastAsia="仿宋_GB2312" w:cs="Times New Roman"/>
          <w:sz w:val="32"/>
          <w:szCs w:val="32"/>
        </w:rPr>
      </w:pPr>
    </w:p>
    <w:p w14:paraId="199B6FBC">
      <w:pPr>
        <w:jc w:val="center"/>
        <w:rPr>
          <w:rFonts w:hint="eastAsia" w:ascii="仿宋_GB2312" w:hAnsi="楷体" w:eastAsia="仿宋_GB2312" w:cs="Times New Roman"/>
          <w:sz w:val="32"/>
          <w:szCs w:val="32"/>
        </w:rPr>
      </w:pPr>
    </w:p>
    <w:p w14:paraId="0191F6CE">
      <w:pPr>
        <w:jc w:val="center"/>
        <w:rPr>
          <w:rFonts w:hint="eastAsia" w:ascii="仿宋_GB2312" w:hAnsi="楷体" w:eastAsia="仿宋_GB2312" w:cs="Times New Roman"/>
          <w:sz w:val="32"/>
          <w:szCs w:val="32"/>
        </w:rPr>
      </w:pPr>
    </w:p>
    <w:p w14:paraId="7B1A4726">
      <w:pPr>
        <w:jc w:val="center"/>
        <w:rPr>
          <w:rFonts w:hint="eastAsia" w:ascii="仿宋_GB2312" w:hAnsi="楷体" w:eastAsia="仿宋_GB2312" w:cs="Times New Roman"/>
          <w:sz w:val="32"/>
          <w:szCs w:val="32"/>
        </w:rPr>
      </w:pPr>
      <w:r>
        <w:rPr>
          <w:rFonts w:hint="eastAsia" w:ascii="仿宋_GB2312" w:hAnsi="楷体" w:eastAsia="仿宋_GB2312" w:cs="Times New Roman"/>
          <w:sz w:val="32"/>
          <w:szCs w:val="32"/>
        </w:rPr>
        <w:t>2025年8月15日</w:t>
      </w:r>
    </w:p>
    <w:p w14:paraId="3A28846D">
      <w:pPr>
        <w:jc w:val="center"/>
        <w:rPr>
          <w:rFonts w:hint="eastAsia" w:ascii="楷体" w:hAnsi="楷体" w:eastAsia="楷体" w:cs="Times New Roman"/>
          <w:sz w:val="32"/>
          <w:szCs w:val="32"/>
        </w:rPr>
      </w:pPr>
    </w:p>
    <w:p w14:paraId="5DC5BED3">
      <w:pPr>
        <w:widowControl/>
        <w:jc w:val="left"/>
        <w:rPr>
          <w:rFonts w:ascii="Times New Roman" w:hAnsi="Times New Roman" w:eastAsia="仿宋_GB2312" w:cs="Times New Roman"/>
          <w:b/>
          <w:bCs/>
          <w:sz w:val="32"/>
          <w14:ligatures w14:val="none"/>
        </w:rPr>
      </w:pPr>
      <w:r>
        <w:rPr>
          <w:rFonts w:ascii="Times New Roman" w:hAnsi="Times New Roman" w:eastAsia="仿宋_GB2312" w:cs="Times New Roman"/>
          <w:b/>
          <w:bCs/>
          <w:sz w:val="32"/>
          <w14:ligatures w14:val="none"/>
        </w:rPr>
        <w:br w:type="page"/>
      </w:r>
    </w:p>
    <w:bookmarkEnd w:id="0"/>
    <w:p w14:paraId="2686350A">
      <w:pPr>
        <w:pStyle w:val="2"/>
        <w:spacing w:before="0" w:after="0" w:line="24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一、规划层次与范围</w:t>
      </w:r>
    </w:p>
    <w:p w14:paraId="3499E599">
      <w:pPr>
        <w:ind w:firstLine="643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规划范围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为尼玛镇行政辖区，包含乡镇编制单元全域规划层次。</w:t>
      </w:r>
    </w:p>
    <w:p w14:paraId="7DF207BD">
      <w:pPr>
        <w:ind w:firstLine="643" w:firstLineChars="200"/>
        <w:rPr>
          <w:rFonts w:ascii="Times New Roman" w:hAnsi="Times New Roman" w:eastAsia="仿宋_GB2312" w:cs="Times New Roman"/>
          <w:sz w:val="32"/>
          <w:highlight w:val="yellow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编制单元全域规划层次：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编制单元全域规划包括贡玛村、哇玛村、萨合村、秀玛村四个行政村，总面积61176.16公顷。</w:t>
      </w:r>
    </w:p>
    <w:p w14:paraId="7FB06AED">
      <w:pPr>
        <w:pStyle w:val="2"/>
        <w:spacing w:before="0" w:after="0" w:line="24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二、规划期限</w:t>
      </w:r>
    </w:p>
    <w:p w14:paraId="2C7E7DB6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规划期限为2021年至2035年。其中，基期年为2020年，近期：2021—2027年，远期：2028—2035年。</w:t>
      </w:r>
    </w:p>
    <w:p w14:paraId="32C0051C">
      <w:pPr>
        <w:pStyle w:val="2"/>
        <w:spacing w:before="0" w:after="0" w:line="24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三、规划定位</w:t>
      </w:r>
    </w:p>
    <w:p w14:paraId="657F16BE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总体定位：</w:t>
      </w:r>
    </w:p>
    <w:p w14:paraId="4550416A">
      <w:pPr>
        <w:jc w:val="center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高原特色城乡融合发展示范区</w:t>
      </w:r>
    </w:p>
    <w:p w14:paraId="4BBF1ECC">
      <w:pPr>
        <w:jc w:val="center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玛曲县城重要的生态安全屏障</w:t>
      </w:r>
    </w:p>
    <w:p w14:paraId="3DB96AF8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形象定位：</w:t>
      </w:r>
    </w:p>
    <w:p w14:paraId="44C25707">
      <w:pPr>
        <w:jc w:val="center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首曲驿站·天下黄河第一弯</w:t>
      </w:r>
    </w:p>
    <w:p w14:paraId="6439FE03">
      <w:pPr>
        <w:pStyle w:val="2"/>
        <w:spacing w:before="0" w:after="0" w:line="24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四、国土空间格局</w:t>
      </w:r>
    </w:p>
    <w:p w14:paraId="0C7618CD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规划构建“一心一屏、一带两轴三区”的开发保护总体格局。</w:t>
      </w:r>
    </w:p>
    <w:p w14:paraId="1812D055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一心：以现状县城建成区为中心的城乡综合服务核，是引领尼玛镇发展的核心动力。</w:t>
      </w:r>
    </w:p>
    <w:p w14:paraId="7CF53479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一屏：黄河上游生态安全屏障，是维护黄河上游地区生态安全的重要屏障。</w:t>
      </w:r>
    </w:p>
    <w:p w14:paraId="6FC78474">
      <w:pPr>
        <w:ind w:firstLine="640" w:firstLineChars="200"/>
        <w:rPr>
          <w:rFonts w:hint="eastAsia"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一带：沿黄风情景观带。</w:t>
      </w:r>
    </w:p>
    <w:p w14:paraId="68A7EF72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两轴：指依托G345和X415的城乡发展联动轴，是引导城镇服务功能向乡村延伸、乡村产品向城镇输送的主要发展轴线；依托S204和G345的生态文旅体验轴，是发展生态旅游、文化体验、休闲观光的功能轴带。</w:t>
      </w:r>
    </w:p>
    <w:p w14:paraId="389DB512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三区：生态保护区、高原生态畜牧业承载区、生态涵养区。</w:t>
      </w:r>
    </w:p>
    <w:p w14:paraId="3986E152">
      <w:pPr>
        <w:jc w:val="center"/>
        <w:rPr>
          <w:rFonts w:ascii="Times New Roman" w:hAnsi="Times New Roman" w:eastAsia="仿宋_GB2312" w:cs="Times New Roman"/>
          <w:sz w:val="32"/>
          <w14:ligatures w14:val="none"/>
        </w:rPr>
      </w:pPr>
      <w:r>
        <w:drawing>
          <wp:inline distT="0" distB="0" distL="0" distR="0">
            <wp:extent cx="4692015" cy="3002915"/>
            <wp:effectExtent l="0" t="0" r="0" b="6985"/>
            <wp:docPr id="1624936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36723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9424" r="1476" b="2920"/>
                    <a:stretch>
                      <a:fillRect/>
                    </a:stretch>
                  </pic:blipFill>
                  <pic:spPr>
                    <a:xfrm>
                      <a:off x="0" y="0"/>
                      <a:ext cx="4694177" cy="30045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D057">
      <w:pPr>
        <w:pStyle w:val="2"/>
        <w:spacing w:before="0" w:after="0" w:line="24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五、落实三条控制线</w:t>
      </w:r>
    </w:p>
    <w:p w14:paraId="08C9426B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尼玛镇不涉及永久基本农田。</w:t>
      </w:r>
    </w:p>
    <w:p w14:paraId="4DD2CAC6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规划落实生态保护红线规模3622.84公顷。</w:t>
      </w:r>
    </w:p>
    <w:p w14:paraId="54EFFF64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规划落实城镇开发边界规模39.72公顷。</w:t>
      </w:r>
    </w:p>
    <w:p w14:paraId="0BFDC141">
      <w:pPr>
        <w:jc w:val="center"/>
        <w:rPr>
          <w:rFonts w:ascii="Times New Roman" w:hAnsi="Times New Roman" w:eastAsia="仿宋_GB2312" w:cs="Times New Roman"/>
          <w:sz w:val="32"/>
          <w14:ligatures w14:val="none"/>
        </w:rPr>
      </w:pPr>
      <w:r>
        <w:drawing>
          <wp:inline distT="0" distB="0" distL="0" distR="0">
            <wp:extent cx="4871720" cy="3008630"/>
            <wp:effectExtent l="0" t="0" r="5080" b="1270"/>
            <wp:docPr id="2106723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23685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6" b="3033"/>
                    <a:stretch>
                      <a:fillRect/>
                    </a:stretch>
                  </pic:blipFill>
                  <pic:spPr>
                    <a:xfrm>
                      <a:off x="0" y="0"/>
                      <a:ext cx="4872634" cy="30093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8424">
      <w:pPr>
        <w:pStyle w:val="2"/>
        <w:spacing w:before="0" w:after="0" w:line="24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六、村庄分类</w:t>
      </w:r>
    </w:p>
    <w:p w14:paraId="3E0F2A20">
      <w:pPr>
        <w:ind w:firstLine="640" w:firstLineChars="200"/>
        <w:rPr>
          <w:rFonts w:hint="eastAsia"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传导玛曲县国土空间总体规划中村庄分类，尼玛镇贡玛村、哇玛村、萨合村、秀玛村均为城郊融合类村庄。</w:t>
      </w:r>
    </w:p>
    <w:p w14:paraId="687D1616">
      <w:pPr>
        <w:pStyle w:val="2"/>
        <w:spacing w:before="0" w:after="0" w:line="24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七、支撑体系</w:t>
      </w:r>
    </w:p>
    <w:p w14:paraId="12002250">
      <w:pPr>
        <w:ind w:firstLine="643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1.道路交通体系：</w:t>
      </w:r>
      <w:r>
        <w:rPr>
          <w:rFonts w:ascii="Times New Roman" w:hAnsi="Times New Roman" w:eastAsia="仿宋_GB2312" w:cs="Times New Roman"/>
          <w:sz w:val="32"/>
          <w14:ligatures w14:val="none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尼玛镇镇域交通体系由对外交通和内部交通组成。</w:t>
      </w:r>
    </w:p>
    <w:p w14:paraId="36FDDB57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对外交通：构建便捷的国省道干线网，尼玛镇对外交通主要为G345、S204，规划落实县级规划碌久高速S45尼玛镇段。</w:t>
      </w:r>
    </w:p>
    <w:p w14:paraId="6FE5939F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内部交通：以实现乡镇通三级路、自然村（组）通硬化路为目标，全面打通牧村“断头路”，改造拓展城乡“瓶颈路”。规划近期改善镇域内各行政村之间的道路交通条件，进一步完善道路状况，远期完善道路交通系统，建成系统的道路交通网络。</w:t>
      </w:r>
    </w:p>
    <w:p w14:paraId="5C4A4C25">
      <w:pPr>
        <w:jc w:val="center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</w:rPr>
        <w:drawing>
          <wp:inline distT="0" distB="0" distL="0" distR="0">
            <wp:extent cx="4913630" cy="3043555"/>
            <wp:effectExtent l="0" t="0" r="1270" b="4445"/>
            <wp:docPr id="1768393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93104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1" b="2873"/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3043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F4AD"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2.公共服务体系</w:t>
      </w:r>
    </w:p>
    <w:p w14:paraId="265F7183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尼玛镇公共服务设施配套以依托县城、共享优质资源为核心策略。重点强化与县城中心区的高效交通连接，构建镇域内居民点“15分钟可达县城服务中心的便捷生活圈”。规划期内镇域居民主要依托县城解决教育、医疗、文化、体育、养老等服务需求。</w:t>
      </w:r>
    </w:p>
    <w:p w14:paraId="66C91068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1.教育设施</w:t>
      </w:r>
    </w:p>
    <w:p w14:paraId="1259A74C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原则上不再新建中小学，适龄学生入读县城学校，保障学龄儿童少年便捷赴县城就学的交通条件。</w:t>
      </w:r>
    </w:p>
    <w:p w14:paraId="3D8FD496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2.医疗卫生设施</w:t>
      </w:r>
    </w:p>
    <w:p w14:paraId="45786046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保留现有村卫生室并完成标准化全覆盖改造，夯实其提供常见病诊疗、公共卫生、健康咨询及应急救助的服务能力，同时畅通与县城医院的双向转诊通道。</w:t>
      </w:r>
    </w:p>
    <w:p w14:paraId="4E2FB5E5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3.文化与体育设施</w:t>
      </w:r>
    </w:p>
    <w:p w14:paraId="274C62C8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提升改造各行政村现有文体设施，完善活动设施配套。在秀玛村配建户外健身场地，结合哇玛村村委会配建村民综合活动中心。</w:t>
      </w:r>
    </w:p>
    <w:p w14:paraId="123AB5C7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4.社会福利设施</w:t>
      </w:r>
    </w:p>
    <w:p w14:paraId="02E7D315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推行“互助养老”模式，在萨合村、哇玛村村委会配建标准化日间照料中心，为留守、高龄老人提供日间托养、助餐等基础服务，全面保障型的养老需求则依托县城专业养老机构实现。</w:t>
      </w:r>
    </w:p>
    <w:p w14:paraId="2EC9ADBC"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3.市政基础设施体系</w:t>
      </w:r>
    </w:p>
    <w:p w14:paraId="586EB131">
      <w:pPr>
        <w:ind w:firstLine="643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给水工程规划：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规划完善各村集中供水工程，力争到2035年，各行政村的自来水普及率为70％以上，本地水源首先满足本区牧村生活用水。</w:t>
      </w:r>
    </w:p>
    <w:p w14:paraId="7760B2F3"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排水工程规划：</w:t>
      </w:r>
    </w:p>
    <w:p w14:paraId="34C9BE4E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采用雨污分流排水体制。</w:t>
      </w:r>
    </w:p>
    <w:p w14:paraId="697ED7F8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污水工程。逐步建成较为完善的镇域污水处理系统，规划区内污水收集采取分散与集中相结合的方式，全面收集、处理污水，提高污水处理、再利用率。村庄污水可根据村庄实际情况采用集中或分散方式处理，采用化粪池、生活污水净化沼气池等方法进行收集处理。</w:t>
      </w:r>
    </w:p>
    <w:p w14:paraId="08079D8F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雨水工程。雨水系统布置严格遵守低水低排，高水高排，分散排放的原则，雨水就近汇入排洪系统或河道。规划雨水系统结合地形，采用重力流自然排水，充分利用排洪沟、道路边沟、并在适当地方铺设雨水管道就近排入水体。农牧村配套雨水收集水渠，沿道路修建，将雨水送至就近的排洪沟。</w:t>
      </w:r>
    </w:p>
    <w:p w14:paraId="506375D2">
      <w:pPr>
        <w:ind w:firstLine="643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电力工程规划：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规划期末电源保证率100%，电力线路覆盖率100%；乡村电源保证率99%，电力线路覆盖率100%。提高农牧村供电质量，打造多能源协调互补的分布式智能微电网，支持电力设备和用电终端基于互联网进行双向通信和智能调控，发展智能化的能源监测与共享服务。</w:t>
      </w:r>
      <w:r>
        <w:rPr>
          <w:rFonts w:ascii="Times New Roman" w:hAnsi="Times New Roman" w:eastAsia="仿宋_GB2312" w:cs="Times New Roman"/>
          <w:sz w:val="32"/>
          <w14:ligatures w14:val="none"/>
        </w:rPr>
        <w:t xml:space="preserve"> </w:t>
      </w:r>
    </w:p>
    <w:p w14:paraId="15116454">
      <w:pPr>
        <w:ind w:firstLine="643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电信工程规划：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完善、优化、扩展尼玛镇数据网和多媒体通信网，扩大电话、有线电视、互联网的覆盖率，提高互联网稳定性。</w:t>
      </w:r>
    </w:p>
    <w:p w14:paraId="61FB636D">
      <w:pPr>
        <w:ind w:firstLine="643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能源保障系统：</w:t>
      </w:r>
    </w:p>
    <w:p w14:paraId="5B5C664D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（1）供热工程规划</w:t>
      </w:r>
    </w:p>
    <w:p w14:paraId="33F7D68F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规划区内居民点根据具体情况，采用电能、太阳能、沼气等清洁能源供暖，形成绿色低碳循环体系，从节约能源和经济适用的方面来考虑采取多渠道供热热源，以保证采暖期的正常供暖。</w:t>
      </w:r>
    </w:p>
    <w:p w14:paraId="17A0D615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（2）燃气工程规划</w:t>
      </w:r>
    </w:p>
    <w:p w14:paraId="0D53D730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依托靠近县城的优越地理位置，推广液化气作为主要生活能源。</w:t>
      </w:r>
    </w:p>
    <w:p w14:paraId="7CBAD274">
      <w:pPr>
        <w:ind w:firstLine="643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环卫工程规划：</w:t>
      </w:r>
      <w:r>
        <w:rPr>
          <w:rFonts w:ascii="Times New Roman" w:hAnsi="Times New Roman" w:eastAsia="仿宋_GB2312" w:cs="Times New Roman"/>
          <w:sz w:val="32"/>
          <w14:ligatures w14:val="none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14:ligatures w14:val="none"/>
        </w:rPr>
        <w:t>规划保留现状玛曲县生活垃圾处理厂和玛曲县医疗废物收转运中心。规划在萨合村、哇玛村集中居民点设置垃圾收集点，并在其他重点公共区域配置垃圾桶。规划区内垃圾由环卫车辆运送至垃圾处理厂，统一进行无害化处理。</w:t>
      </w:r>
    </w:p>
    <w:p w14:paraId="6CB0DEF3">
      <w:pPr>
        <w:pStyle w:val="2"/>
        <w:spacing w:before="0" w:after="0" w:line="240" w:lineRule="auto"/>
        <w:rPr>
          <w:rFonts w:hint="eastAsia" w:ascii="仿宋_GB2312" w:eastAsia="仿宋_GB2312"/>
          <w:sz w:val="32"/>
          <w:szCs w:val="32"/>
        </w:rPr>
      </w:pPr>
      <w:bookmarkStart w:id="1" w:name="OLE_LINK7"/>
      <w:r>
        <w:rPr>
          <w:rFonts w:hint="eastAsia" w:ascii="仿宋_GB2312" w:eastAsia="仿宋_GB2312"/>
          <w:sz w:val="32"/>
          <w:szCs w:val="32"/>
        </w:rPr>
        <w:t>八、历史文化</w:t>
      </w:r>
    </w:p>
    <w:bookmarkEnd w:id="1"/>
    <w:p w14:paraId="01D58D93"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1.物质文化遗产</w:t>
      </w:r>
    </w:p>
    <w:p w14:paraId="7379C727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尼玛镇有省级文物保护单位一处（察干外香寺）；县级文物保护单位9处，分别为完玛电站、朝鸟尖木错修行洞、石塔、哇尔玛知识青年居住遗址、玛曲县电厂、贡玛飞机场、玛麦渔场、察干曼曲、玛曲渔场。对保护范围及建设控制地带进行严格管理，定期开展文保单位普查，建立抢救性保护机制。</w:t>
      </w:r>
    </w:p>
    <w:p w14:paraId="2DA3E1B0"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14:ligatures w14:val="none"/>
        </w:rPr>
        <w:t>2.非物质文化遗产</w:t>
      </w:r>
    </w:p>
    <w:p w14:paraId="715FD826">
      <w:pPr>
        <w:ind w:firstLine="640" w:firstLineChars="200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  <w14:ligatures w14:val="none"/>
        </w:rPr>
        <w:t>尼玛镇为玛曲县非物质文化遗产保护区的重要区域，主要有以格萨尔文化为代表的曲艺、民俗文学、传统音乐、传统体育、游艺与杂技、民间说唱，以及包括根植于中华民族文化的藏医药文化、藏舞和藏戏等。加强尼玛镇非物质文化遗产保护工作和传习活动，通过举办展览、节庆活动、手工艺品加工等方式，保护和传承非物质文化遗产。</w:t>
      </w:r>
    </w:p>
    <w:p w14:paraId="14D1A59E">
      <w:pPr>
        <w:jc w:val="center"/>
        <w:rPr>
          <w:rFonts w:ascii="Times New Roman" w:hAnsi="Times New Roman" w:eastAsia="仿宋_GB2312" w:cs="Times New Roman"/>
          <w:sz w:val="32"/>
          <w14:ligatures w14:val="none"/>
        </w:rPr>
      </w:pPr>
      <w:r>
        <w:rPr>
          <w:rFonts w:hint="eastAsia" w:ascii="Times New Roman" w:hAnsi="Times New Roman" w:eastAsia="仿宋_GB2312" w:cs="Times New Roman"/>
          <w:sz w:val="32"/>
        </w:rPr>
        <w:drawing>
          <wp:inline distT="0" distB="0" distL="0" distR="0">
            <wp:extent cx="4879975" cy="3016250"/>
            <wp:effectExtent l="0" t="0" r="0" b="0"/>
            <wp:docPr id="12293138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13858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0" b="2862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3017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2ECE">
      <w:pPr>
        <w:jc w:val="center"/>
        <w:rPr>
          <w:rFonts w:ascii="Times New Roman" w:hAnsi="Times New Roman" w:eastAsia="仿宋_GB2312" w:cs="Times New Roman"/>
          <w:sz w:val="32"/>
          <w14:ligatures w14:val="none"/>
        </w:rPr>
      </w:pPr>
    </w:p>
    <w:p w14:paraId="75C528FD">
      <w:pPr>
        <w:rPr>
          <w:rFonts w:ascii="Times New Roman" w:hAnsi="Times New Roman" w:eastAsia="仿宋_GB2312" w:cs="Times New Roman"/>
          <w:sz w:val="32"/>
          <w14:ligatures w14:val="none"/>
        </w:rPr>
      </w:pPr>
    </w:p>
    <w:p w14:paraId="2DC09BAA">
      <w:pPr>
        <w:rPr>
          <w:rFonts w:ascii="Times New Roman" w:hAnsi="Times New Roman" w:eastAsia="仿宋_GB2312" w:cs="Times New Roman"/>
          <w:sz w:val="32"/>
          <w14:ligatures w14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EF"/>
    <w:rsid w:val="00011A0C"/>
    <w:rsid w:val="00016C4B"/>
    <w:rsid w:val="00041C73"/>
    <w:rsid w:val="00055677"/>
    <w:rsid w:val="00065CBC"/>
    <w:rsid w:val="000A057F"/>
    <w:rsid w:val="000D6EF9"/>
    <w:rsid w:val="000E6748"/>
    <w:rsid w:val="001045FA"/>
    <w:rsid w:val="00110F12"/>
    <w:rsid w:val="00157DEE"/>
    <w:rsid w:val="001661F5"/>
    <w:rsid w:val="001726AA"/>
    <w:rsid w:val="001730A4"/>
    <w:rsid w:val="00187353"/>
    <w:rsid w:val="001C327A"/>
    <w:rsid w:val="001D691F"/>
    <w:rsid w:val="001E4566"/>
    <w:rsid w:val="001E7A29"/>
    <w:rsid w:val="00206308"/>
    <w:rsid w:val="002250F8"/>
    <w:rsid w:val="002255EB"/>
    <w:rsid w:val="00243C21"/>
    <w:rsid w:val="00265CD6"/>
    <w:rsid w:val="002672DB"/>
    <w:rsid w:val="00282A4C"/>
    <w:rsid w:val="00283245"/>
    <w:rsid w:val="002902EF"/>
    <w:rsid w:val="0029708C"/>
    <w:rsid w:val="002A5B3D"/>
    <w:rsid w:val="002D0662"/>
    <w:rsid w:val="002F68BF"/>
    <w:rsid w:val="00304189"/>
    <w:rsid w:val="00335831"/>
    <w:rsid w:val="003420B5"/>
    <w:rsid w:val="003514C5"/>
    <w:rsid w:val="00351771"/>
    <w:rsid w:val="003551E6"/>
    <w:rsid w:val="0036558D"/>
    <w:rsid w:val="003973AA"/>
    <w:rsid w:val="003B783C"/>
    <w:rsid w:val="003E64FD"/>
    <w:rsid w:val="003E699A"/>
    <w:rsid w:val="00421D2F"/>
    <w:rsid w:val="00422DE0"/>
    <w:rsid w:val="00427000"/>
    <w:rsid w:val="004278EC"/>
    <w:rsid w:val="0044484F"/>
    <w:rsid w:val="004513D1"/>
    <w:rsid w:val="00464859"/>
    <w:rsid w:val="00465A92"/>
    <w:rsid w:val="00475F08"/>
    <w:rsid w:val="00476D49"/>
    <w:rsid w:val="004B776F"/>
    <w:rsid w:val="004C7B21"/>
    <w:rsid w:val="00526A4D"/>
    <w:rsid w:val="005477D5"/>
    <w:rsid w:val="00561629"/>
    <w:rsid w:val="00566F45"/>
    <w:rsid w:val="005C06B0"/>
    <w:rsid w:val="005C5754"/>
    <w:rsid w:val="005E0D18"/>
    <w:rsid w:val="005E582D"/>
    <w:rsid w:val="005E6AA8"/>
    <w:rsid w:val="005F15E2"/>
    <w:rsid w:val="005F4305"/>
    <w:rsid w:val="005F46A9"/>
    <w:rsid w:val="00623570"/>
    <w:rsid w:val="00630567"/>
    <w:rsid w:val="0064218B"/>
    <w:rsid w:val="00670409"/>
    <w:rsid w:val="006A632A"/>
    <w:rsid w:val="006E21D0"/>
    <w:rsid w:val="006E7AD0"/>
    <w:rsid w:val="007039BF"/>
    <w:rsid w:val="00707FB2"/>
    <w:rsid w:val="00717856"/>
    <w:rsid w:val="007307A2"/>
    <w:rsid w:val="007349F1"/>
    <w:rsid w:val="00747C3B"/>
    <w:rsid w:val="0077513C"/>
    <w:rsid w:val="007861A2"/>
    <w:rsid w:val="00786956"/>
    <w:rsid w:val="00792C64"/>
    <w:rsid w:val="007B5D07"/>
    <w:rsid w:val="007C7459"/>
    <w:rsid w:val="007D0DFB"/>
    <w:rsid w:val="007D2C25"/>
    <w:rsid w:val="007D65F9"/>
    <w:rsid w:val="007E5E4E"/>
    <w:rsid w:val="008612A0"/>
    <w:rsid w:val="00863A6F"/>
    <w:rsid w:val="008763BF"/>
    <w:rsid w:val="00897217"/>
    <w:rsid w:val="008A065E"/>
    <w:rsid w:val="008A2270"/>
    <w:rsid w:val="008A3BFD"/>
    <w:rsid w:val="008B2106"/>
    <w:rsid w:val="008B3A79"/>
    <w:rsid w:val="008D1460"/>
    <w:rsid w:val="008F2056"/>
    <w:rsid w:val="00914320"/>
    <w:rsid w:val="0092675A"/>
    <w:rsid w:val="009524EF"/>
    <w:rsid w:val="009563A4"/>
    <w:rsid w:val="009563FB"/>
    <w:rsid w:val="0097391F"/>
    <w:rsid w:val="009A2962"/>
    <w:rsid w:val="009A6F28"/>
    <w:rsid w:val="009B6FFF"/>
    <w:rsid w:val="009C16EB"/>
    <w:rsid w:val="009E0164"/>
    <w:rsid w:val="009F4C09"/>
    <w:rsid w:val="00A106F3"/>
    <w:rsid w:val="00A319D8"/>
    <w:rsid w:val="00A552D4"/>
    <w:rsid w:val="00A71B95"/>
    <w:rsid w:val="00A80D8D"/>
    <w:rsid w:val="00A8668C"/>
    <w:rsid w:val="00A97BAC"/>
    <w:rsid w:val="00AA3BFE"/>
    <w:rsid w:val="00AB2D06"/>
    <w:rsid w:val="00AC310B"/>
    <w:rsid w:val="00AC6478"/>
    <w:rsid w:val="00AE17F8"/>
    <w:rsid w:val="00B13DB5"/>
    <w:rsid w:val="00B339F0"/>
    <w:rsid w:val="00B35A9C"/>
    <w:rsid w:val="00B45E94"/>
    <w:rsid w:val="00B55C87"/>
    <w:rsid w:val="00B634C5"/>
    <w:rsid w:val="00B677FA"/>
    <w:rsid w:val="00BA52EE"/>
    <w:rsid w:val="00BB37D0"/>
    <w:rsid w:val="00BB3B05"/>
    <w:rsid w:val="00BE4CB3"/>
    <w:rsid w:val="00BF7F7A"/>
    <w:rsid w:val="00C04062"/>
    <w:rsid w:val="00C05969"/>
    <w:rsid w:val="00C32503"/>
    <w:rsid w:val="00C342CB"/>
    <w:rsid w:val="00C35008"/>
    <w:rsid w:val="00C46E98"/>
    <w:rsid w:val="00C605E2"/>
    <w:rsid w:val="00C76C54"/>
    <w:rsid w:val="00C82617"/>
    <w:rsid w:val="00C87A58"/>
    <w:rsid w:val="00C93EEF"/>
    <w:rsid w:val="00CC0EE0"/>
    <w:rsid w:val="00CF0B49"/>
    <w:rsid w:val="00CF7C8B"/>
    <w:rsid w:val="00D4105E"/>
    <w:rsid w:val="00D468F5"/>
    <w:rsid w:val="00D54F43"/>
    <w:rsid w:val="00D77554"/>
    <w:rsid w:val="00D918F1"/>
    <w:rsid w:val="00DD2622"/>
    <w:rsid w:val="00DE33EA"/>
    <w:rsid w:val="00DF47A4"/>
    <w:rsid w:val="00DF5245"/>
    <w:rsid w:val="00E14444"/>
    <w:rsid w:val="00E24DA9"/>
    <w:rsid w:val="00E5181E"/>
    <w:rsid w:val="00E5486E"/>
    <w:rsid w:val="00E63C39"/>
    <w:rsid w:val="00EA44DB"/>
    <w:rsid w:val="00EA6D06"/>
    <w:rsid w:val="00EB4E36"/>
    <w:rsid w:val="00EC3A5A"/>
    <w:rsid w:val="00ED248A"/>
    <w:rsid w:val="00F015F1"/>
    <w:rsid w:val="00F16E05"/>
    <w:rsid w:val="00F31B4B"/>
    <w:rsid w:val="00F52C99"/>
    <w:rsid w:val="00F5666A"/>
    <w:rsid w:val="00F56BA5"/>
    <w:rsid w:val="00F6461B"/>
    <w:rsid w:val="00F9719D"/>
    <w:rsid w:val="00FB5766"/>
    <w:rsid w:val="00FD4D02"/>
    <w:rsid w:val="00FE354C"/>
    <w:rsid w:val="00FE4BAC"/>
    <w:rsid w:val="00FF12F2"/>
    <w:rsid w:val="6B07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标题 3 字符"/>
    <w:basedOn w:val="8"/>
    <w:link w:val="4"/>
    <w:semiHidden/>
    <w:uiPriority w:val="9"/>
    <w:rPr>
      <w:b/>
      <w:bCs/>
      <w:sz w:val="32"/>
      <w:szCs w:val="32"/>
    </w:rPr>
  </w:style>
  <w:style w:type="character" w:customStyle="1" w:styleId="11">
    <w:name w:val="标题 2 字符"/>
    <w:basedOn w:val="8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字符"/>
    <w:basedOn w:val="8"/>
    <w:link w:val="6"/>
    <w:uiPriority w:val="99"/>
    <w:rPr>
      <w:sz w:val="18"/>
      <w:szCs w:val="18"/>
    </w:rPr>
  </w:style>
  <w:style w:type="character" w:customStyle="1" w:styleId="13">
    <w:name w:val="页脚 字符"/>
    <w:basedOn w:val="8"/>
    <w:link w:val="5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EB702-A647-4A41-AD53-4C70F8DADD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2190</Words>
  <Characters>2283</Characters>
  <Lines>16</Lines>
  <Paragraphs>4</Paragraphs>
  <TotalTime>443</TotalTime>
  <ScaleCrop>false</ScaleCrop>
  <LinksUpToDate>false</LinksUpToDate>
  <CharactersWithSpaces>2287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2025-09-08T07:50:00Z</dcterms:created>
  <dc:creator>GC-HZ</dc:creator>
  <cp:lastModifiedBy>简白</cp:lastModifiedBy>
  <dcterms:modified xsi:type="dcterms:W3CDTF">2025-09-11T02:11:41Z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eyJoZGlkIjoiMGU3NTllZjhlMmE0YTdjN2I3NjI4NjU3ZDcxZjBmNmQiLCJ1c2VySWQiOiIxMzc0NDQ2OTg3In0=</vt:lpwstr>
  </property>
  <property fmtid="{D5CDD505-2E9C-101B-9397-08002B2CF9AE}" pid="3" name="KSOProductBuildVer">
    <vt:lpwstr>2052-12.1.0.22529</vt:lpwstr>
  </property>
  <property fmtid="{D5CDD505-2E9C-101B-9397-08002B2CF9AE}" pid="4" name="ICV">
    <vt:lpwstr>7EFEDB2533A64D08A567929B2B349118_12</vt:lpwstr>
  </property>
</Properties>
</file>